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678" w:rsidRPr="00350E59" w:rsidRDefault="00C86678" w:rsidP="00E60869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50E59">
        <w:rPr>
          <w:rFonts w:ascii="Times New Roman" w:eastAsia="Times New Roman" w:hAnsi="Times New Roman" w:cs="Times New Roman"/>
          <w:b/>
          <w:bCs/>
          <w:sz w:val="36"/>
          <w:szCs w:val="36"/>
        </w:rPr>
        <w:t>Chapitre IV</w:t>
      </w:r>
    </w:p>
    <w:p w:rsidR="00C86678" w:rsidRPr="00A151F6" w:rsidRDefault="00C86678" w:rsidP="00E60869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</w:rPr>
      </w:pPr>
      <w:r w:rsidRPr="00C86678">
        <w:rPr>
          <w:rFonts w:ascii="Times New Roman" w:eastAsia="Times New Roman" w:hAnsi="Times New Roman" w:cs="Times New Roman"/>
          <w:b/>
          <w:bCs/>
          <w:sz w:val="36"/>
          <w:szCs w:val="36"/>
        </w:rPr>
        <w:t>Conclusion et recommandation</w:t>
      </w:r>
      <w:r w:rsidR="006C3CF7">
        <w:rPr>
          <w:rFonts w:ascii="Times New Roman" w:eastAsia="Times New Roman" w:hAnsi="Times New Roman" w:cs="Times New Roman"/>
          <w:b/>
          <w:bCs/>
          <w:sz w:val="36"/>
          <w:szCs w:val="36"/>
        </w:rPr>
        <w:t>s</w:t>
      </w:r>
    </w:p>
    <w:p w:rsidR="00C86678" w:rsidRPr="005844A3" w:rsidRDefault="00C86678" w:rsidP="00E60869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A79AB">
        <w:rPr>
          <w:rFonts w:ascii="Times New Roman" w:eastAsia="Times New Roman" w:hAnsi="Times New Roman" w:cs="Times New Roman"/>
          <w:b/>
          <w:bCs/>
          <w:sz w:val="24"/>
          <w:szCs w:val="24"/>
        </w:rPr>
        <w:t>IV</w:t>
      </w:r>
      <w:r w:rsidR="003A6EC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A79A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A6EC7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Pr="00FA79AB">
        <w:rPr>
          <w:rFonts w:ascii="Times New Roman" w:hAnsi="Times New Roman" w:cs="Times New Roman"/>
          <w:b/>
          <w:bCs/>
          <w:sz w:val="24"/>
          <w:szCs w:val="24"/>
        </w:rPr>
        <w:t xml:space="preserve"> Conclusion</w:t>
      </w:r>
      <w:r w:rsidR="00F61548">
        <w:rPr>
          <w:rFonts w:ascii="Times New Roman" w:hAnsi="Times New Roman" w:cs="Times New Roman"/>
          <w:b/>
          <w:bCs/>
          <w:sz w:val="24"/>
          <w:szCs w:val="24"/>
        </w:rPr>
        <w:t xml:space="preserve">  générale </w:t>
      </w:r>
    </w:p>
    <w:p w:rsidR="00F9205D" w:rsidRPr="00373792" w:rsidRDefault="00F9205D" w:rsidP="00E6086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  <w:r w:rsidRPr="00373792">
        <w:rPr>
          <w:rFonts w:ascii="Times New Roman" w:hAnsi="Times New Roman" w:cs="Times New Roman"/>
          <w:sz w:val="24"/>
          <w:szCs w:val="24"/>
          <w:lang w:eastAsia="fr-FR"/>
        </w:rPr>
        <w:t xml:space="preserve">Ce sont les conséquences néfastes du gonflement des sols sur le bâti qui ont incité les chercheurs et les ingénieurs à penser à des remèdes et à des solutions aux causes des dégâts engendrés par ce phénomène. Cette étude s’inscrit dans le cadre de la stabilisation de l’argile gonflante de la région de </w:t>
      </w:r>
      <w:r w:rsidR="00DB2F4D" w:rsidRPr="00373792">
        <w:rPr>
          <w:rFonts w:ascii="Times New Roman" w:hAnsi="Times New Roman" w:cs="Times New Roman"/>
          <w:sz w:val="24"/>
          <w:szCs w:val="24"/>
          <w:lang w:eastAsia="fr-FR"/>
        </w:rPr>
        <w:t>S</w:t>
      </w:r>
      <w:r w:rsidRPr="00373792">
        <w:rPr>
          <w:rFonts w:ascii="Times New Roman" w:hAnsi="Times New Roman" w:cs="Times New Roman"/>
          <w:sz w:val="24"/>
          <w:szCs w:val="24"/>
          <w:lang w:eastAsia="fr-FR"/>
        </w:rPr>
        <w:t xml:space="preserve">idi </w:t>
      </w:r>
      <w:r w:rsidR="00375E15" w:rsidRPr="00373792">
        <w:rPr>
          <w:rFonts w:ascii="Times New Roman" w:hAnsi="Times New Roman" w:cs="Times New Roman"/>
          <w:sz w:val="24"/>
          <w:szCs w:val="24"/>
          <w:lang w:eastAsia="fr-FR"/>
        </w:rPr>
        <w:t>Hadjres</w:t>
      </w:r>
      <w:r w:rsidRPr="00373792">
        <w:rPr>
          <w:rFonts w:ascii="Times New Roman" w:hAnsi="Times New Roman" w:cs="Times New Roman"/>
          <w:sz w:val="24"/>
          <w:szCs w:val="24"/>
          <w:lang w:eastAsia="fr-FR"/>
        </w:rPr>
        <w:t xml:space="preserve">. </w:t>
      </w:r>
    </w:p>
    <w:p w:rsidR="00DB2F4D" w:rsidRPr="00373792" w:rsidRDefault="00C86678" w:rsidP="00E6086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3792">
        <w:rPr>
          <w:rFonts w:ascii="Times New Roman" w:hAnsi="Times New Roman" w:cs="Times New Roman"/>
          <w:sz w:val="24"/>
          <w:szCs w:val="24"/>
        </w:rPr>
        <w:t>Le traitement des sols en place évite le transport e</w:t>
      </w:r>
      <w:r w:rsidR="00F61548" w:rsidRPr="00373792">
        <w:rPr>
          <w:rFonts w:ascii="Times New Roman" w:hAnsi="Times New Roman" w:cs="Times New Roman"/>
          <w:sz w:val="24"/>
          <w:szCs w:val="24"/>
        </w:rPr>
        <w:t>t valorise les matériaux locaux.Il a pour objectif de réaliser</w:t>
      </w:r>
      <w:r w:rsidRPr="00373792">
        <w:rPr>
          <w:rFonts w:ascii="Times New Roman" w:hAnsi="Times New Roman" w:cs="Times New Roman"/>
          <w:sz w:val="24"/>
          <w:szCs w:val="24"/>
        </w:rPr>
        <w:t xml:space="preserve"> des couches de fond</w:t>
      </w:r>
      <w:r w:rsidR="00F61548" w:rsidRPr="00373792">
        <w:rPr>
          <w:rFonts w:ascii="Times New Roman" w:hAnsi="Times New Roman" w:cs="Times New Roman"/>
          <w:sz w:val="24"/>
          <w:szCs w:val="24"/>
        </w:rPr>
        <w:t xml:space="preserve">ation </w:t>
      </w:r>
      <w:r w:rsidRPr="00373792">
        <w:rPr>
          <w:rFonts w:ascii="Times New Roman" w:hAnsi="Times New Roman" w:cs="Times New Roman"/>
          <w:sz w:val="24"/>
          <w:szCs w:val="24"/>
        </w:rPr>
        <w:t>de qualité</w:t>
      </w:r>
      <w:r w:rsidR="00F61548" w:rsidRPr="00373792">
        <w:rPr>
          <w:rFonts w:ascii="Times New Roman" w:hAnsi="Times New Roman" w:cs="Times New Roman"/>
          <w:sz w:val="24"/>
          <w:szCs w:val="24"/>
        </w:rPr>
        <w:t>,</w:t>
      </w:r>
      <w:r w:rsidRPr="00373792">
        <w:rPr>
          <w:rFonts w:ascii="Times New Roman" w:hAnsi="Times New Roman" w:cs="Times New Roman"/>
          <w:sz w:val="24"/>
          <w:szCs w:val="24"/>
        </w:rPr>
        <w:t xml:space="preserve"> dont les caractéristiques mécaniques seront considérablement rehaussées, ce qui donne une plus grande portance et </w:t>
      </w:r>
      <w:r w:rsidR="00F61548" w:rsidRPr="00373792">
        <w:rPr>
          <w:rFonts w:ascii="Times New Roman" w:hAnsi="Times New Roman" w:cs="Times New Roman"/>
          <w:sz w:val="24"/>
          <w:szCs w:val="24"/>
        </w:rPr>
        <w:t xml:space="preserve">une </w:t>
      </w:r>
      <w:r w:rsidRPr="00373792">
        <w:rPr>
          <w:rFonts w:ascii="Times New Roman" w:hAnsi="Times New Roman" w:cs="Times New Roman"/>
          <w:sz w:val="24"/>
          <w:szCs w:val="24"/>
        </w:rPr>
        <w:t>meilleure distribution des charges. Ces couches vont acquerirent une meilleure résistance à l’érosion en augmentant sensiblement leur durabilité.</w:t>
      </w:r>
    </w:p>
    <w:p w:rsidR="00A401EA" w:rsidRDefault="00A401EA" w:rsidP="00E6086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F4E00" w:rsidRDefault="00C01922" w:rsidP="00E6086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</w:t>
      </w:r>
      <w:r w:rsidR="00DB2F4D">
        <w:rPr>
          <w:rFonts w:ascii="Times New Roman" w:hAnsi="Times New Roman" w:cs="Times New Roman"/>
          <w:sz w:val="24"/>
          <w:szCs w:val="24"/>
        </w:rPr>
        <w:t xml:space="preserve"> cette étude effectu</w:t>
      </w:r>
      <w:r w:rsidR="00657A4F">
        <w:rPr>
          <w:rFonts w:ascii="Times New Roman" w:hAnsi="Times New Roman" w:cs="Times New Roman"/>
          <w:sz w:val="24"/>
          <w:szCs w:val="24"/>
        </w:rPr>
        <w:t>é</w:t>
      </w:r>
      <w:r w:rsidR="00DB2F4D">
        <w:rPr>
          <w:rFonts w:ascii="Times New Roman" w:hAnsi="Times New Roman" w:cs="Times New Roman"/>
          <w:sz w:val="24"/>
          <w:szCs w:val="24"/>
        </w:rPr>
        <w:t>e, on peut tirer plusieurs conclusions :</w:t>
      </w:r>
    </w:p>
    <w:p w:rsidR="00E60869" w:rsidRPr="00F9205D" w:rsidRDefault="00E60869" w:rsidP="00E6086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ind w:firstLine="567"/>
        <w:rPr>
          <w:rFonts w:ascii="Helvetica" w:hAnsi="Helvetica" w:cs="Helvetica"/>
          <w:sz w:val="24"/>
          <w:szCs w:val="24"/>
          <w:lang w:eastAsia="fr-FR"/>
        </w:rPr>
      </w:pPr>
    </w:p>
    <w:p w:rsidR="00DB2F4D" w:rsidRPr="00DB2F4D" w:rsidRDefault="00DB2F4D" w:rsidP="00E60869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diminution de la </w:t>
      </w:r>
      <w:r w:rsidRPr="005F4EEC">
        <w:rPr>
          <w:rFonts w:asciiTheme="majorBidi" w:hAnsiTheme="majorBidi" w:cstheme="majorBidi"/>
          <w:sz w:val="24"/>
          <w:szCs w:val="24"/>
        </w:rPr>
        <w:t xml:space="preserve">valeur au bleu de méthylène </w:t>
      </w:r>
      <w:r>
        <w:rPr>
          <w:rFonts w:asciiTheme="majorBidi" w:hAnsiTheme="majorBidi" w:cstheme="majorBidi"/>
          <w:sz w:val="24"/>
          <w:szCs w:val="24"/>
        </w:rPr>
        <w:t xml:space="preserve">est compagne </w:t>
      </w:r>
      <w:r w:rsidR="00373792">
        <w:rPr>
          <w:rFonts w:asciiTheme="majorBidi" w:hAnsiTheme="majorBidi" w:cstheme="majorBidi"/>
          <w:sz w:val="24"/>
          <w:szCs w:val="24"/>
        </w:rPr>
        <w:t>de l</w:t>
      </w:r>
      <w:r>
        <w:rPr>
          <w:rFonts w:asciiTheme="majorBidi" w:hAnsiTheme="majorBidi" w:cstheme="majorBidi"/>
          <w:sz w:val="24"/>
          <w:szCs w:val="24"/>
        </w:rPr>
        <w:t>’augmentation de la teneur en ciment</w:t>
      </w:r>
      <w:r w:rsidR="00373792">
        <w:rPr>
          <w:rFonts w:asciiTheme="majorBidi" w:hAnsiTheme="majorBidi" w:cstheme="majorBidi"/>
          <w:sz w:val="24"/>
          <w:szCs w:val="24"/>
        </w:rPr>
        <w:t>.</w:t>
      </w:r>
    </w:p>
    <w:p w:rsidR="00DB2F4D" w:rsidRPr="00A401EA" w:rsidRDefault="00253E83" w:rsidP="00E60869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L’augmentation de la teneur en ciment influe directement sur la diminution de la valeur au bleu méthylène.</w:t>
      </w:r>
    </w:p>
    <w:p w:rsidR="00A401EA" w:rsidRPr="00DB2F4D" w:rsidRDefault="00A401EA" w:rsidP="00E60869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78">
        <w:rPr>
          <w:rFonts w:asciiTheme="majorBidi" w:hAnsiTheme="majorBidi" w:cstheme="majorBidi"/>
          <w:sz w:val="24"/>
          <w:szCs w:val="24"/>
        </w:rPr>
        <w:t xml:space="preserve">la diminution de la limite de liquidité est due à la diminution de la surface spécifique totale puisque le pourcentage de la fraction argileuse est </w:t>
      </w:r>
      <w:r w:rsidR="00362E78">
        <w:rPr>
          <w:rFonts w:asciiTheme="majorBidi" w:hAnsiTheme="majorBidi" w:cstheme="majorBidi"/>
          <w:sz w:val="24"/>
          <w:szCs w:val="24"/>
        </w:rPr>
        <w:t>faible et</w:t>
      </w:r>
      <w:r w:rsidRPr="00606E78">
        <w:rPr>
          <w:rFonts w:asciiTheme="majorBidi" w:hAnsiTheme="majorBidi" w:cstheme="majorBidi"/>
          <w:sz w:val="24"/>
          <w:szCs w:val="24"/>
        </w:rPr>
        <w:t>, au contraire, le pourcentage de ciment augmente</w:t>
      </w:r>
      <w:r w:rsidR="00362E78">
        <w:rPr>
          <w:rFonts w:asciiTheme="majorBidi" w:hAnsiTheme="majorBidi" w:cstheme="majorBidi"/>
          <w:sz w:val="24"/>
          <w:szCs w:val="24"/>
        </w:rPr>
        <w:t>.</w:t>
      </w:r>
    </w:p>
    <w:p w:rsidR="00253E83" w:rsidRPr="00253E83" w:rsidRDefault="00253E83" w:rsidP="00E60869">
      <w:pPr>
        <w:pStyle w:val="Paragraphedeliste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L’ajout du ciment à forte teneur s’accompagne d’une augmentation des coefficients de fragmentabilité et de dégradabilité et donc le sol traité à forte teneur en ciment devient un sol fragmentable et moyennement dégradable.</w:t>
      </w:r>
    </w:p>
    <w:p w:rsidR="00A151F6" w:rsidRPr="00C01922" w:rsidRDefault="00C01922" w:rsidP="00E6086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801">
        <w:rPr>
          <w:rFonts w:ascii="Times New Roman" w:hAnsi="Times New Roman" w:cs="Times New Roman"/>
          <w:sz w:val="24"/>
          <w:szCs w:val="24"/>
        </w:rPr>
        <w:t xml:space="preserve">La </w:t>
      </w:r>
      <w:r w:rsidR="00253E83">
        <w:rPr>
          <w:rFonts w:ascii="Times New Roman" w:hAnsi="Times New Roman" w:cs="Times New Roman"/>
          <w:sz w:val="24"/>
          <w:szCs w:val="24"/>
        </w:rPr>
        <w:t xml:space="preserve">masse volumique </w:t>
      </w:r>
      <w:r w:rsidRPr="00E12801">
        <w:rPr>
          <w:rFonts w:ascii="Times New Roman" w:hAnsi="Times New Roman" w:cs="Times New Roman"/>
          <w:sz w:val="24"/>
          <w:szCs w:val="24"/>
        </w:rPr>
        <w:t>sèche diminue avec l’augmentation de la teneur en ciment jusqu’à 8% de</w:t>
      </w:r>
      <w:r w:rsidR="00657A4F">
        <w:rPr>
          <w:rFonts w:ascii="Times New Roman" w:hAnsi="Times New Roman" w:cs="Times New Roman"/>
          <w:sz w:val="24"/>
          <w:szCs w:val="24"/>
        </w:rPr>
        <w:t xml:space="preserve"> traitement pour la valeur de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w:sym w:font="Symbol" w:char="F067"/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d</m:t>
            </m:r>
          </m:sub>
        </m:sSub>
      </m:oMath>
      <w:r w:rsidRPr="00E12801">
        <w:rPr>
          <w:rFonts w:ascii="Times New Roman" w:hAnsi="Times New Roman" w:cs="Times New Roman"/>
          <w:sz w:val="24"/>
          <w:szCs w:val="24"/>
        </w:rPr>
        <w:t xml:space="preserve">=1.54 g/cm3, qui correspond à la </w:t>
      </w:r>
      <w:r w:rsidR="00657A4F">
        <w:rPr>
          <w:rFonts w:ascii="Times New Roman" w:hAnsi="Times New Roman" w:cs="Times New Roman"/>
          <w:sz w:val="24"/>
          <w:szCs w:val="24"/>
        </w:rPr>
        <w:t>masse volumique</w:t>
      </w:r>
      <w:r w:rsidRPr="00E12801">
        <w:rPr>
          <w:rFonts w:ascii="Times New Roman" w:hAnsi="Times New Roman" w:cs="Times New Roman"/>
          <w:sz w:val="24"/>
          <w:szCs w:val="24"/>
        </w:rPr>
        <w:t xml:space="preserve"> sèche minimale obtenue durant le traitement</w:t>
      </w:r>
      <w:r w:rsidR="00253E83" w:rsidRPr="00253E83">
        <w:rPr>
          <w:rFonts w:ascii="Times New Roman" w:hAnsi="Times New Roman" w:cs="Times New Roman"/>
          <w:sz w:val="24"/>
          <w:szCs w:val="24"/>
        </w:rPr>
        <w:t xml:space="preserve"> </w:t>
      </w:r>
      <w:r w:rsidR="00253E83">
        <w:rPr>
          <w:rFonts w:ascii="Times New Roman" w:hAnsi="Times New Roman" w:cs="Times New Roman"/>
          <w:sz w:val="24"/>
          <w:szCs w:val="24"/>
        </w:rPr>
        <w:t>et qui correspond à la limite entre la stabilisation à faible et à forte teneur en ciment</w:t>
      </w:r>
      <w:r w:rsidRPr="00E12801">
        <w:rPr>
          <w:rFonts w:ascii="Times New Roman" w:hAnsi="Times New Roman" w:cs="Times New Roman"/>
          <w:sz w:val="24"/>
          <w:szCs w:val="24"/>
        </w:rPr>
        <w:t>.</w:t>
      </w:r>
    </w:p>
    <w:p w:rsidR="00253E83" w:rsidRDefault="00E01DA2" w:rsidP="00E6086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L’augmentation de la teneur en ciment agit directement sur l’augment</w:t>
      </w:r>
      <w:r w:rsidR="00F61548">
        <w:rPr>
          <w:rFonts w:ascii="Times New Roman" w:hAnsi="Times New Roman" w:cs="Times New Roman"/>
          <w:sz w:val="24"/>
          <w:szCs w:val="24"/>
        </w:rPr>
        <w:t xml:space="preserve">ation de l’indice de portance (indice </w:t>
      </w:r>
      <w:r>
        <w:rPr>
          <w:rFonts w:ascii="Times New Roman" w:hAnsi="Times New Roman" w:cs="Times New Roman"/>
          <w:sz w:val="24"/>
          <w:szCs w:val="24"/>
        </w:rPr>
        <w:t xml:space="preserve">C.B.R.) et ce jusqu’à une valeur maximale correspondant à une teneur en ciment de </w:t>
      </w:r>
      <w:r w:rsidR="00D35BD8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%</w:t>
      </w:r>
      <w:r w:rsidR="004F4E00">
        <w:rPr>
          <w:rFonts w:ascii="Times New Roman" w:hAnsi="Times New Roman" w:cs="Times New Roman"/>
          <w:sz w:val="24"/>
          <w:szCs w:val="24"/>
        </w:rPr>
        <w:t>.</w:t>
      </w:r>
    </w:p>
    <w:p w:rsidR="00362E78" w:rsidRPr="00253E83" w:rsidRDefault="00253E83" w:rsidP="00E6086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E83">
        <w:rPr>
          <w:rFonts w:asciiTheme="majorBidi" w:hAnsiTheme="majorBidi" w:cstheme="majorBidi"/>
          <w:sz w:val="24"/>
          <w:szCs w:val="24"/>
        </w:rPr>
        <w:lastRenderedPageBreak/>
        <w:t>l’augmentation du traitement jusqu'à une teneur de 6 % qui semble délimiter le traitement à faible teneur en ciment et le début du traitement à forte teneur en ciment et qui montre la diminution de l’effort de cisaillement avec l’augmentation du traitement qui devient inefficace.</w:t>
      </w:r>
    </w:p>
    <w:p w:rsidR="005844A3" w:rsidRPr="007970C1" w:rsidRDefault="005844A3" w:rsidP="00E60869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970C1">
        <w:rPr>
          <w:rFonts w:ascii="Times New Roman" w:eastAsia="Times New Roman" w:hAnsi="Times New Roman" w:cs="Times New Roman"/>
          <w:sz w:val="24"/>
          <w:szCs w:val="24"/>
        </w:rPr>
        <w:t>IV</w:t>
      </w:r>
      <w:r w:rsidR="003A6EC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70C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3A6EC7">
        <w:rPr>
          <w:rFonts w:ascii="Times New Roman" w:eastAsia="Times New Roman" w:hAnsi="Times New Roman" w:cs="Times New Roman"/>
          <w:b/>
          <w:bCs/>
          <w:sz w:val="24"/>
          <w:szCs w:val="24"/>
        </w:rPr>
        <w:t> :</w:t>
      </w:r>
      <w:r w:rsidRPr="007970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Recommandation</w:t>
      </w:r>
      <w:r w:rsidR="007970C1" w:rsidRPr="007970C1"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 w:rsidR="00F61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et perspectives</w:t>
      </w:r>
    </w:p>
    <w:p w:rsidR="003D2E35" w:rsidRDefault="005844A3" w:rsidP="00E6086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  <w:r w:rsidRPr="005844A3">
        <w:rPr>
          <w:rFonts w:ascii="Times New Roman" w:hAnsi="Times New Roman" w:cs="Times New Roman"/>
          <w:sz w:val="24"/>
          <w:szCs w:val="24"/>
          <w:lang w:eastAsia="fr-FR"/>
        </w:rPr>
        <w:t xml:space="preserve">Ce travail de stabilisation </w:t>
      </w:r>
      <w:r w:rsidR="00F61548">
        <w:rPr>
          <w:rFonts w:ascii="Times New Roman" w:hAnsi="Times New Roman" w:cs="Times New Roman"/>
          <w:sz w:val="24"/>
          <w:szCs w:val="24"/>
          <w:lang w:eastAsia="fr-FR"/>
        </w:rPr>
        <w:t xml:space="preserve">au ciment </w:t>
      </w:r>
      <w:r w:rsidR="007970C1">
        <w:rPr>
          <w:rFonts w:ascii="Times New Roman" w:hAnsi="Times New Roman" w:cs="Times New Roman"/>
          <w:sz w:val="24"/>
          <w:szCs w:val="24"/>
          <w:lang w:eastAsia="fr-FR"/>
        </w:rPr>
        <w:t xml:space="preserve">d’une argile </w:t>
      </w:r>
      <w:r w:rsidR="00E60869">
        <w:rPr>
          <w:rFonts w:ascii="Times New Roman" w:hAnsi="Times New Roman" w:cs="Times New Roman"/>
          <w:sz w:val="24"/>
          <w:szCs w:val="24"/>
          <w:lang w:eastAsia="fr-FR"/>
        </w:rPr>
        <w:t>très</w:t>
      </w:r>
      <w:r w:rsidR="00F61548">
        <w:rPr>
          <w:rFonts w:ascii="Times New Roman" w:hAnsi="Times New Roman" w:cs="Times New Roman"/>
          <w:sz w:val="24"/>
          <w:szCs w:val="24"/>
          <w:lang w:eastAsia="fr-FR"/>
        </w:rPr>
        <w:t xml:space="preserve"> expansive, </w:t>
      </w:r>
      <w:r w:rsidRPr="005844A3">
        <w:rPr>
          <w:rFonts w:ascii="Times New Roman" w:hAnsi="Times New Roman" w:cs="Times New Roman"/>
          <w:sz w:val="24"/>
          <w:szCs w:val="24"/>
          <w:lang w:eastAsia="fr-FR"/>
        </w:rPr>
        <w:t>réalisé dans le cadre de ce mémoire n’est pas une fin en soi maisnous recommandons fortement pour la pour</w:t>
      </w:r>
      <w:r w:rsidR="00E60869">
        <w:rPr>
          <w:rFonts w:ascii="Times New Roman" w:hAnsi="Times New Roman" w:cs="Times New Roman"/>
          <w:sz w:val="24"/>
          <w:szCs w:val="24"/>
          <w:lang w:eastAsia="fr-FR"/>
        </w:rPr>
        <w:t xml:space="preserve"> </w:t>
      </w:r>
      <w:r w:rsidRPr="005844A3">
        <w:rPr>
          <w:rFonts w:ascii="Times New Roman" w:hAnsi="Times New Roman" w:cs="Times New Roman"/>
          <w:sz w:val="24"/>
          <w:szCs w:val="24"/>
          <w:lang w:eastAsia="fr-FR"/>
        </w:rPr>
        <w:t>suit</w:t>
      </w:r>
      <w:r w:rsidR="007970C1">
        <w:rPr>
          <w:rFonts w:ascii="Times New Roman" w:hAnsi="Times New Roman" w:cs="Times New Roman"/>
          <w:sz w:val="24"/>
          <w:szCs w:val="24"/>
          <w:lang w:eastAsia="fr-FR"/>
        </w:rPr>
        <w:t>e de cette étude de se pencher</w:t>
      </w:r>
      <w:r w:rsidRPr="005844A3">
        <w:rPr>
          <w:rFonts w:ascii="Times New Roman" w:hAnsi="Times New Roman" w:cs="Times New Roman"/>
          <w:sz w:val="24"/>
          <w:szCs w:val="24"/>
          <w:lang w:eastAsia="fr-FR"/>
        </w:rPr>
        <w:t xml:space="preserve"> sur les</w:t>
      </w:r>
      <w:r w:rsidR="00E60869">
        <w:rPr>
          <w:rFonts w:ascii="Times New Roman" w:hAnsi="Times New Roman" w:cs="Times New Roman"/>
          <w:sz w:val="24"/>
          <w:szCs w:val="24"/>
          <w:lang w:eastAsia="fr-FR"/>
        </w:rPr>
        <w:t xml:space="preserve"> </w:t>
      </w:r>
      <w:r w:rsidRPr="005844A3">
        <w:rPr>
          <w:rFonts w:ascii="Times New Roman" w:hAnsi="Times New Roman" w:cs="Times New Roman"/>
          <w:sz w:val="24"/>
          <w:szCs w:val="24"/>
          <w:lang w:eastAsia="fr-FR"/>
        </w:rPr>
        <w:t>points suivants :</w:t>
      </w:r>
    </w:p>
    <w:p w:rsidR="005844A3" w:rsidRPr="005844A3" w:rsidRDefault="005844A3" w:rsidP="00E6086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fr-FR"/>
        </w:rPr>
      </w:pPr>
    </w:p>
    <w:p w:rsidR="00392506" w:rsidRDefault="007970C1" w:rsidP="00E60869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Prévoir une période</w:t>
      </w:r>
      <w:r w:rsidR="00392506">
        <w:rPr>
          <w:rFonts w:ascii="Times New Roman" w:hAnsi="Times New Roman" w:cs="Times New Roman"/>
          <w:sz w:val="24"/>
          <w:szCs w:val="24"/>
        </w:rPr>
        <w:t xml:space="preserve"> suffisante de maturation du sol traité avant l’exécution de l’essai de portance immédiat (voir l’effet du temps sur la portance)</w:t>
      </w:r>
    </w:p>
    <w:p w:rsidR="00392506" w:rsidRPr="00235CD8" w:rsidRDefault="00392506" w:rsidP="00E60869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CD8">
        <w:rPr>
          <w:rFonts w:ascii="Times New Roman" w:hAnsi="Times New Roman" w:cs="Times New Roman"/>
          <w:sz w:val="24"/>
          <w:szCs w:val="24"/>
        </w:rPr>
        <w:t>U</w:t>
      </w:r>
      <w:r w:rsidR="00B352AF" w:rsidRPr="00235CD8">
        <w:rPr>
          <w:rFonts w:ascii="Times New Roman" w:hAnsi="Times New Roman" w:cs="Times New Roman"/>
          <w:sz w:val="24"/>
          <w:szCs w:val="24"/>
        </w:rPr>
        <w:t>tiliser</w:t>
      </w:r>
      <w:r w:rsidRPr="00235CD8">
        <w:rPr>
          <w:rFonts w:ascii="Times New Roman" w:hAnsi="Times New Roman" w:cs="Times New Roman"/>
          <w:sz w:val="24"/>
          <w:szCs w:val="24"/>
        </w:rPr>
        <w:t xml:space="preserve"> la méthode de gonflement empêché </w:t>
      </w:r>
    </w:p>
    <w:p w:rsidR="00E60869" w:rsidRPr="00E60869" w:rsidRDefault="007970C1" w:rsidP="00E60869">
      <w:pPr>
        <w:numPr>
          <w:ilvl w:val="0"/>
          <w:numId w:val="2"/>
        </w:numPr>
        <w:spacing w:after="0" w:line="360" w:lineRule="auto"/>
        <w:ind w:left="360" w:firstLine="66"/>
        <w:jc w:val="both"/>
        <w:rPr>
          <w:rFonts w:ascii="Times New Roman" w:hAnsi="Times New Roman" w:cs="Times New Roman"/>
          <w:sz w:val="24"/>
          <w:szCs w:val="24"/>
        </w:rPr>
      </w:pPr>
      <w:r w:rsidRPr="00235CD8">
        <w:rPr>
          <w:rFonts w:ascii="Times New Roman" w:hAnsi="Times New Roman" w:cs="Times New Roman"/>
          <w:sz w:val="24"/>
          <w:szCs w:val="24"/>
        </w:rPr>
        <w:t>Le mêmetravail peut être fait en utilisant d’autres types de ciments</w:t>
      </w:r>
      <w:r w:rsidR="00392506" w:rsidRPr="00235C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0869" w:rsidRPr="00E60869" w:rsidRDefault="00E60869" w:rsidP="00E60869">
      <w:pPr>
        <w:pStyle w:val="Default"/>
        <w:numPr>
          <w:ilvl w:val="0"/>
          <w:numId w:val="2"/>
        </w:num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Refaire l’essai de cisaillement en adaptant l’essai consolidé non drainé (CU) pour voir l’effet de la chaux sur l’angle de frottement et la cohésion. </w:t>
      </w:r>
    </w:p>
    <w:p w:rsidR="00D641A3" w:rsidRDefault="00D641A3" w:rsidP="0028773A">
      <w:pPr>
        <w:rPr>
          <w:rFonts w:ascii="Times New Roman" w:hAnsi="Times New Roman" w:cs="Times New Roman"/>
          <w:sz w:val="24"/>
          <w:szCs w:val="24"/>
        </w:rPr>
      </w:pPr>
    </w:p>
    <w:p w:rsidR="00404988" w:rsidRDefault="00404988" w:rsidP="00F7037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4988" w:rsidRDefault="00404988" w:rsidP="00F7037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A4DB0" w:rsidRDefault="006A4DB0" w:rsidP="00F7037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5705" w:rsidRDefault="00225705" w:rsidP="00F7037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5705" w:rsidRDefault="00225705" w:rsidP="00F7037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5705" w:rsidRDefault="00FC4448" w:rsidP="00F7037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35.9pt;margin-top:12.85pt;width:51pt;height:27.75pt;z-index:251656192" filled="f" stroked="f">
            <v:textbox style="mso-next-textbox:#_x0000_s1027">
              <w:txbxContent>
                <w:p w:rsidR="00A86A1C" w:rsidRPr="00FF7B30" w:rsidRDefault="00A86A1C">
                  <w:pPr>
                    <w:rPr>
                      <w:rFonts w:ascii="Times New Roman" w:hAnsi="Times New Roman" w:cs="Times New Roman"/>
                      <w:color w:val="FFFFFF"/>
                      <w:sz w:val="36"/>
                      <w:szCs w:val="36"/>
                    </w:rPr>
                  </w:pPr>
                  <w:r w:rsidRPr="00FF7B30">
                    <w:rPr>
                      <w:rFonts w:ascii="Times New Roman" w:hAnsi="Times New Roman" w:cs="Times New Roman"/>
                      <w:color w:val="FFFFFF"/>
                      <w:sz w:val="36"/>
                      <w:szCs w:val="36"/>
                    </w:rPr>
                    <w:t>Site</w:t>
                  </w:r>
                </w:p>
              </w:txbxContent>
            </v:textbox>
          </v:shape>
        </w:pict>
      </w:r>
    </w:p>
    <w:p w:rsidR="00225705" w:rsidRDefault="00225705" w:rsidP="00F7037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5705" w:rsidRDefault="00FC4448" w:rsidP="00375E15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pict>
          <v:shape id="_x0000_s1029" type="#_x0000_t202" style="position:absolute;margin-left:295.15pt;margin-top:6.85pt;width:51pt;height:27.75pt;z-index:251657216" filled="f" stroked="f">
            <v:textbox style="mso-next-textbox:#_x0000_s1029">
              <w:txbxContent>
                <w:p w:rsidR="00A86A1C" w:rsidRPr="00FF7B30" w:rsidRDefault="00A86A1C" w:rsidP="005F0186">
                  <w:pPr>
                    <w:rPr>
                      <w:rFonts w:ascii="Times New Roman" w:hAnsi="Times New Roman" w:cs="Times New Roman"/>
                      <w:color w:val="FFFFFF"/>
                      <w:sz w:val="28"/>
                      <w:szCs w:val="28"/>
                    </w:rPr>
                  </w:pPr>
                  <w:r w:rsidRPr="00FF7B30">
                    <w:rPr>
                      <w:rFonts w:ascii="Times New Roman" w:hAnsi="Times New Roman" w:cs="Times New Roman"/>
                      <w:color w:val="FFFFFF"/>
                      <w:sz w:val="28"/>
                      <w:szCs w:val="28"/>
                    </w:rPr>
                    <w:t>Projet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86.9pt;margin-top:6.4pt;width:12.75pt;height:22.5pt;flip:x;z-index:251659264" o:connectortype="straight" strokecolor="white">
            <v:stroke endarrow="block"/>
          </v:shape>
        </w:pict>
      </w:r>
      <w:r w:rsidRPr="00FC4448">
        <w:rPr>
          <w:rFonts w:ascii="Times New Roman" w:hAnsi="Times New Roman" w:cs="Times New Roman"/>
          <w:b/>
          <w:bCs/>
          <w:noProof/>
          <w:color w:val="FFFFFF"/>
          <w:sz w:val="24"/>
          <w:szCs w:val="24"/>
          <w:lang w:eastAsia="fr-FR"/>
        </w:rPr>
        <w:pict>
          <v:shape id="_x0000_s1030" type="#_x0000_t32" style="position:absolute;margin-left:299.65pt;margin-top:6.4pt;width:36.75pt;height:0;z-index:251658240" o:connectortype="straight" strokecolor="white"/>
        </w:pict>
      </w:r>
    </w:p>
    <w:sectPr w:rsidR="00225705" w:rsidSect="00375E15">
      <w:headerReference w:type="default" r:id="rId7"/>
      <w:footerReference w:type="even" r:id="rId8"/>
      <w:footerReference w:type="default" r:id="rId9"/>
      <w:pgSz w:w="11906" w:h="16838" w:code="9"/>
      <w:pgMar w:top="1418" w:right="851" w:bottom="1418" w:left="1418" w:header="709" w:footer="709" w:gutter="0"/>
      <w:pgNumType w:start="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BED" w:rsidRDefault="001B4BED" w:rsidP="005B1135">
      <w:pPr>
        <w:spacing w:after="0" w:line="240" w:lineRule="auto"/>
      </w:pPr>
      <w:r>
        <w:separator/>
      </w:r>
    </w:p>
  </w:endnote>
  <w:endnote w:type="continuationSeparator" w:id="1">
    <w:p w:rsidR="001B4BED" w:rsidRDefault="001B4BED" w:rsidP="005B1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A1C" w:rsidRDefault="00FC4448" w:rsidP="00F073E5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A86A1C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A86A1C" w:rsidRDefault="00A86A1C" w:rsidP="00F073E5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1473023"/>
      <w:docPartObj>
        <w:docPartGallery w:val="Page Numbers (Bottom of Page)"/>
        <w:docPartUnique/>
      </w:docPartObj>
    </w:sdtPr>
    <w:sdtContent>
      <w:p w:rsidR="006D5E5B" w:rsidRDefault="006D5E5B">
        <w:pPr>
          <w:pStyle w:val="Pieddepage"/>
          <w:jc w:val="center"/>
        </w:pPr>
      </w:p>
      <w:p w:rsidR="006D5E5B" w:rsidRDefault="00FC4448" w:rsidP="006D5E5B">
        <w:pPr>
          <w:pStyle w:val="Pieddepage"/>
          <w:jc w:val="center"/>
        </w:pPr>
        <w:r>
          <w:fldChar w:fldCharType="begin"/>
        </w:r>
        <w:r w:rsidR="006D5E5B">
          <w:instrText>PAGE    \* MERGEFORMAT</w:instrText>
        </w:r>
        <w:r>
          <w:fldChar w:fldCharType="separate"/>
        </w:r>
        <w:r w:rsidR="00E60869">
          <w:rPr>
            <w:noProof/>
          </w:rPr>
          <w:t>79</w:t>
        </w:r>
        <w:r>
          <w:fldChar w:fldCharType="end"/>
        </w:r>
      </w:p>
    </w:sdtContent>
  </w:sdt>
  <w:p w:rsidR="00A86A1C" w:rsidRPr="006D5E5B" w:rsidRDefault="00A86A1C" w:rsidP="006D5E5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BED" w:rsidRDefault="001B4BED" w:rsidP="005B1135">
      <w:pPr>
        <w:spacing w:after="0" w:line="240" w:lineRule="auto"/>
      </w:pPr>
      <w:r>
        <w:separator/>
      </w:r>
    </w:p>
  </w:footnote>
  <w:footnote w:type="continuationSeparator" w:id="1">
    <w:p w:rsidR="001B4BED" w:rsidRDefault="001B4BED" w:rsidP="005B1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A1C" w:rsidRDefault="00FC4448">
    <w:pPr>
      <w:pStyle w:val="En-tt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one de texte 473" o:spid="_x0000_s2050" type="#_x0000_t202" style="position:absolute;margin-left:57.6pt;margin-top:29.1pt;width:481.85pt;height:12.65pt;z-index:251660288;visibility:visible;mso-width-percent:1000;mso-position-horizontal-relative:margin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" o:allowincell="f" filled="f" stroked="f">
          <v:textbox style="mso-fit-shape-to-text:t" inset=",0,,0">
            <w:txbxContent>
              <w:sdt>
                <w:sdtPr>
                  <w:rPr>
                    <w:rFonts w:asciiTheme="majorBidi" w:hAnsiTheme="majorBidi" w:cstheme="majorBidi"/>
                  </w:rPr>
                  <w:alias w:val="Titre"/>
                  <w:id w:val="78679243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6D5E5B" w:rsidRPr="006D5E5B" w:rsidRDefault="006D5E5B" w:rsidP="006D5E5B">
                    <w:pPr>
                      <w:spacing w:after="0" w:line="240" w:lineRule="auto"/>
                      <w:rPr>
                        <w:rFonts w:asciiTheme="majorBidi" w:hAnsiTheme="majorBidi" w:cstheme="majorBidi"/>
                      </w:rPr>
                    </w:pPr>
                    <w:r w:rsidRPr="006D5E5B">
                      <w:rPr>
                        <w:rFonts w:asciiTheme="majorBidi" w:hAnsiTheme="majorBidi" w:cstheme="majorBidi"/>
                      </w:rPr>
                      <w:t>Conclusion et recommandations</w:t>
                    </w:r>
                  </w:p>
                </w:sdtContent>
              </w:sdt>
            </w:txbxContent>
          </v:textbox>
          <w10:wrap anchorx="margin" anchory="margin"/>
        </v:shape>
      </w:pict>
    </w:r>
    <w:r>
      <w:rPr>
        <w:noProof/>
      </w:rPr>
      <w:pict>
        <v:shape id="Zone de texte 474" o:spid="_x0000_s2049" type="#_x0000_t202" style="position:absolute;margin-left:0;margin-top:0;width:127.8pt;height:13.4pt;z-index:251659264;visibility:visible;mso-position-horizontal:left;mso-position-horizontal-relative:page;mso-position-vertical:center;mso-position-vertical-relative:top-margin-area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" o:allowincell="f" fillcolor="#4f81bd [3204]" strokecolor="#8db3e2 [1311]">
          <v:textbox style="mso-fit-shape-to-text:t" inset=",0,,0">
            <w:txbxContent>
              <w:p w:rsidR="006D5E5B" w:rsidRPr="006D5E5B" w:rsidRDefault="006D5E5B">
                <w:pPr>
                  <w:spacing w:after="0" w:line="240" w:lineRule="auto"/>
                  <w:jc w:val="right"/>
                  <w:rPr>
                    <w:rFonts w:asciiTheme="majorBidi" w:hAnsiTheme="majorBidi" w:cstheme="majorBidi"/>
                    <w:color w:val="FFFFFF" w:themeColor="background1"/>
                  </w:rPr>
                </w:pPr>
                <w:r w:rsidRPr="006D5E5B">
                  <w:rPr>
                    <w:rFonts w:asciiTheme="majorBidi" w:hAnsiTheme="majorBidi" w:cstheme="majorBidi"/>
                    <w:color w:val="FFFFFF" w:themeColor="background1"/>
                  </w:rPr>
                  <w:t>ChapitreIV</w:t>
                </w:r>
              </w:p>
            </w:txbxContent>
          </v:textbox>
          <w10:wrap anchorx="page" anchory="margin"/>
        </v:shape>
      </w:pict>
    </w:r>
    <w:r>
      <w:rPr>
        <w:noProof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0;margin-top:20.9pt;width:481.85pt;height:.6pt;flip:y;z-index:251661312" o:connectortype="straight" strokecolor="#8db3e2 [1311]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B0B2E"/>
    <w:multiLevelType w:val="hybridMultilevel"/>
    <w:tmpl w:val="0A7CBC8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7E00D3"/>
    <w:multiLevelType w:val="hybridMultilevel"/>
    <w:tmpl w:val="AC82A18C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3020CAC"/>
    <w:multiLevelType w:val="hybridMultilevel"/>
    <w:tmpl w:val="356CBB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3007CA"/>
    <w:rsid w:val="00041CC8"/>
    <w:rsid w:val="00055A27"/>
    <w:rsid w:val="000955FB"/>
    <w:rsid w:val="000E0798"/>
    <w:rsid w:val="0010256E"/>
    <w:rsid w:val="0012083B"/>
    <w:rsid w:val="00136BC4"/>
    <w:rsid w:val="00157463"/>
    <w:rsid w:val="001B4BED"/>
    <w:rsid w:val="001D4B7F"/>
    <w:rsid w:val="00200933"/>
    <w:rsid w:val="00225705"/>
    <w:rsid w:val="00235CD8"/>
    <w:rsid w:val="00253E83"/>
    <w:rsid w:val="00264539"/>
    <w:rsid w:val="00277AD2"/>
    <w:rsid w:val="0028773A"/>
    <w:rsid w:val="002B688E"/>
    <w:rsid w:val="002C1299"/>
    <w:rsid w:val="002F29FE"/>
    <w:rsid w:val="003007CA"/>
    <w:rsid w:val="00321007"/>
    <w:rsid w:val="00350E59"/>
    <w:rsid w:val="00362E78"/>
    <w:rsid w:val="00373792"/>
    <w:rsid w:val="00375E15"/>
    <w:rsid w:val="00392506"/>
    <w:rsid w:val="003A488C"/>
    <w:rsid w:val="003A6EC7"/>
    <w:rsid w:val="003D2E35"/>
    <w:rsid w:val="003D37FB"/>
    <w:rsid w:val="00404988"/>
    <w:rsid w:val="00405A46"/>
    <w:rsid w:val="004061AA"/>
    <w:rsid w:val="00420ACA"/>
    <w:rsid w:val="0044550D"/>
    <w:rsid w:val="004609CB"/>
    <w:rsid w:val="004610F0"/>
    <w:rsid w:val="004F4E00"/>
    <w:rsid w:val="00554900"/>
    <w:rsid w:val="00570CAA"/>
    <w:rsid w:val="005844A3"/>
    <w:rsid w:val="005A1DD9"/>
    <w:rsid w:val="005B1135"/>
    <w:rsid w:val="005F0186"/>
    <w:rsid w:val="005F6DDF"/>
    <w:rsid w:val="0063537C"/>
    <w:rsid w:val="0064728C"/>
    <w:rsid w:val="0065775E"/>
    <w:rsid w:val="00657A4F"/>
    <w:rsid w:val="006602A7"/>
    <w:rsid w:val="00676BE9"/>
    <w:rsid w:val="00685497"/>
    <w:rsid w:val="006A4DB0"/>
    <w:rsid w:val="006C3CF7"/>
    <w:rsid w:val="006C5350"/>
    <w:rsid w:val="006C557D"/>
    <w:rsid w:val="006D0C27"/>
    <w:rsid w:val="006D5E5B"/>
    <w:rsid w:val="007109E2"/>
    <w:rsid w:val="00722F08"/>
    <w:rsid w:val="0074313B"/>
    <w:rsid w:val="00776FE8"/>
    <w:rsid w:val="00782D1C"/>
    <w:rsid w:val="007970C1"/>
    <w:rsid w:val="007E5374"/>
    <w:rsid w:val="007F12D3"/>
    <w:rsid w:val="007F58E5"/>
    <w:rsid w:val="00814AE9"/>
    <w:rsid w:val="008156A2"/>
    <w:rsid w:val="0083504F"/>
    <w:rsid w:val="00874384"/>
    <w:rsid w:val="00885F32"/>
    <w:rsid w:val="00887ADF"/>
    <w:rsid w:val="008C7C64"/>
    <w:rsid w:val="008E0049"/>
    <w:rsid w:val="009079F0"/>
    <w:rsid w:val="00994486"/>
    <w:rsid w:val="009E3364"/>
    <w:rsid w:val="00A00DD8"/>
    <w:rsid w:val="00A017DC"/>
    <w:rsid w:val="00A151F6"/>
    <w:rsid w:val="00A3351A"/>
    <w:rsid w:val="00A401EA"/>
    <w:rsid w:val="00A51533"/>
    <w:rsid w:val="00A86A1C"/>
    <w:rsid w:val="00AB035E"/>
    <w:rsid w:val="00AC651D"/>
    <w:rsid w:val="00B206A7"/>
    <w:rsid w:val="00B352AF"/>
    <w:rsid w:val="00B70BB6"/>
    <w:rsid w:val="00B86086"/>
    <w:rsid w:val="00B93782"/>
    <w:rsid w:val="00BB5D26"/>
    <w:rsid w:val="00BF3AD1"/>
    <w:rsid w:val="00BF7EDE"/>
    <w:rsid w:val="00C01922"/>
    <w:rsid w:val="00C360E7"/>
    <w:rsid w:val="00C52CB5"/>
    <w:rsid w:val="00C73D27"/>
    <w:rsid w:val="00C7536A"/>
    <w:rsid w:val="00C76ACF"/>
    <w:rsid w:val="00C8573A"/>
    <w:rsid w:val="00C86678"/>
    <w:rsid w:val="00CC5574"/>
    <w:rsid w:val="00CE4757"/>
    <w:rsid w:val="00D1347A"/>
    <w:rsid w:val="00D21F57"/>
    <w:rsid w:val="00D30E85"/>
    <w:rsid w:val="00D35BD8"/>
    <w:rsid w:val="00D641A3"/>
    <w:rsid w:val="00DB2F4D"/>
    <w:rsid w:val="00DB368D"/>
    <w:rsid w:val="00DE0F1C"/>
    <w:rsid w:val="00DF4171"/>
    <w:rsid w:val="00E01DA2"/>
    <w:rsid w:val="00E12801"/>
    <w:rsid w:val="00E60869"/>
    <w:rsid w:val="00EA0ED6"/>
    <w:rsid w:val="00F073E5"/>
    <w:rsid w:val="00F146E1"/>
    <w:rsid w:val="00F33534"/>
    <w:rsid w:val="00F34EA7"/>
    <w:rsid w:val="00F61548"/>
    <w:rsid w:val="00F66127"/>
    <w:rsid w:val="00F7037A"/>
    <w:rsid w:val="00F9205D"/>
    <w:rsid w:val="00FA79AB"/>
    <w:rsid w:val="00FC4448"/>
    <w:rsid w:val="00FD46D1"/>
    <w:rsid w:val="00FE1A03"/>
    <w:rsid w:val="00FE605D"/>
    <w:rsid w:val="00FF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171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1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1135"/>
  </w:style>
  <w:style w:type="paragraph" w:styleId="Pieddepage">
    <w:name w:val="footer"/>
    <w:basedOn w:val="Normal"/>
    <w:link w:val="PieddepageCar"/>
    <w:uiPriority w:val="99"/>
    <w:unhideWhenUsed/>
    <w:rsid w:val="005B1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1135"/>
  </w:style>
  <w:style w:type="paragraph" w:styleId="Textedebulles">
    <w:name w:val="Balloon Text"/>
    <w:basedOn w:val="Normal"/>
    <w:link w:val="TextedebullesCar"/>
    <w:uiPriority w:val="99"/>
    <w:semiHidden/>
    <w:unhideWhenUsed/>
    <w:rsid w:val="000E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0798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F073E5"/>
  </w:style>
  <w:style w:type="paragraph" w:styleId="Paragraphedeliste">
    <w:name w:val="List Paragraph"/>
    <w:basedOn w:val="Normal"/>
    <w:uiPriority w:val="34"/>
    <w:qFormat/>
    <w:rsid w:val="005A1DD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657A4F"/>
    <w:rPr>
      <w:color w:val="808080"/>
    </w:rPr>
  </w:style>
  <w:style w:type="paragraph" w:customStyle="1" w:styleId="Default">
    <w:name w:val="Default"/>
    <w:rsid w:val="00E6086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2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Conclusion et recommandations</vt:lpstr>
      <vt:lpstr/>
    </vt:vector>
  </TitlesOfParts>
  <Company>Hewlett-Packard Company</Company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Conclusion et recommandations</dc:title>
  <dc:creator>bettah</dc:creator>
  <cp:lastModifiedBy>dimetri</cp:lastModifiedBy>
  <cp:revision>2</cp:revision>
  <cp:lastPrinted>2011-06-14T07:31:00Z</cp:lastPrinted>
  <dcterms:created xsi:type="dcterms:W3CDTF">2012-06-13T00:00:00Z</dcterms:created>
  <dcterms:modified xsi:type="dcterms:W3CDTF">2012-06-13T00:00:00Z</dcterms:modified>
</cp:coreProperties>
</file>